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B6F5E" w:rsidRPr="005019DC" w:rsidRDefault="005B6F5E" w:rsidP="005A7086">
      <w:pPr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33"/>
        <w:gridCol w:w="3295"/>
        <w:gridCol w:w="3676"/>
      </w:tblGrid>
      <w:tr w:rsidR="005A7086" w:rsidRPr="005019DC" w:rsidTr="00DE2238">
        <w:tc>
          <w:tcPr>
            <w:tcW w:w="2933" w:type="dxa"/>
          </w:tcPr>
          <w:p w:rsidR="005A7086" w:rsidRPr="005019DC" w:rsidRDefault="005A7086" w:rsidP="0041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5019DC">
              <w:rPr>
                <w:rFonts w:ascii="Times New Roman" w:hAnsi="Times New Roman" w:cs="Times New Roman"/>
                <w:b/>
                <w:noProof/>
                <w:color w:val="002060"/>
                <w:sz w:val="26"/>
                <w:szCs w:val="26"/>
                <w:lang w:eastAsia="ja-JP"/>
              </w:rPr>
              <w:drawing>
                <wp:inline distT="0" distB="0" distL="0" distR="0">
                  <wp:extent cx="1520825" cy="1520825"/>
                  <wp:effectExtent l="0" t="0" r="3175" b="0"/>
                  <wp:docPr id="5" name="Picture 2" descr="C:\Users\UEL\Downloads\logo uel 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EL\Downloads\logo uel 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152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:rsidR="005A7086" w:rsidRPr="005019DC" w:rsidRDefault="00882826" w:rsidP="0041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5019DC">
              <w:rPr>
                <w:rFonts w:ascii="Times New Roman" w:hAnsi="Times New Roman" w:cs="Times New Roman"/>
                <w:b/>
                <w:noProof/>
                <w:color w:val="002060"/>
                <w:sz w:val="26"/>
                <w:szCs w:val="26"/>
                <w:lang w:eastAsia="ja-JP"/>
              </w:rPr>
              <w:drawing>
                <wp:inline distT="0" distB="0" distL="0" distR="0">
                  <wp:extent cx="1573444" cy="1520576"/>
                  <wp:effectExtent l="19050" t="0" r="7706" b="0"/>
                  <wp:docPr id="12" name="Picture 10" descr="C:\Users\UEL\Desktop\FTU'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EL\Desktop\FTU'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498" cy="152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</w:tcPr>
          <w:p w:rsidR="005A7086" w:rsidRPr="005019DC" w:rsidRDefault="005A7086" w:rsidP="0041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5019DC">
              <w:rPr>
                <w:rFonts w:ascii="Times New Roman" w:hAnsi="Times New Roman" w:cs="Times New Roman"/>
                <w:b/>
                <w:noProof/>
                <w:color w:val="002060"/>
                <w:sz w:val="26"/>
                <w:szCs w:val="26"/>
                <w:lang w:eastAsia="ja-JP"/>
              </w:rPr>
              <w:drawing>
                <wp:inline distT="0" distB="0" distL="0" distR="0">
                  <wp:extent cx="3225800" cy="626745"/>
                  <wp:effectExtent l="19050" t="0" r="0" b="0"/>
                  <wp:docPr id="9" name="Picture 7" descr="C:\Users\UEL\Desktop\V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EL\Desktop\V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086" w:rsidRPr="005019DC" w:rsidRDefault="005A7086" w:rsidP="00410805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466C09" w:rsidRPr="005019DC" w:rsidRDefault="00466C09" w:rsidP="00410805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019D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THƯ MỜI VIẾT BÀI </w:t>
      </w:r>
    </w:p>
    <w:p w:rsidR="0096409A" w:rsidRPr="005019DC" w:rsidRDefault="00195509" w:rsidP="0096409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4"/>
        </w:rPr>
      </w:pPr>
      <w:proofErr w:type="spellStart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>Hội</w:t>
      </w:r>
      <w:proofErr w:type="spellEnd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>thảo</w:t>
      </w:r>
      <w:proofErr w:type="spellEnd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>quốc</w:t>
      </w:r>
      <w:proofErr w:type="spellEnd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>tế</w:t>
      </w:r>
      <w:proofErr w:type="spellEnd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>về</w:t>
      </w:r>
      <w:proofErr w:type="spellEnd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>tài</w:t>
      </w:r>
      <w:proofErr w:type="spellEnd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>chính</w:t>
      </w:r>
      <w:proofErr w:type="spellEnd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>tại</w:t>
      </w:r>
      <w:proofErr w:type="spellEnd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>Việ</w:t>
      </w:r>
      <w:r w:rsidR="0078793A" w:rsidRPr="005019DC">
        <w:rPr>
          <w:rFonts w:ascii="Times New Roman" w:hAnsi="Times New Roman" w:cs="Times New Roman"/>
          <w:b/>
          <w:color w:val="002060"/>
          <w:sz w:val="26"/>
          <w:szCs w:val="24"/>
        </w:rPr>
        <w:t>t</w:t>
      </w:r>
      <w:proofErr w:type="spellEnd"/>
      <w:r w:rsidR="0078793A"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Nam</w:t>
      </w:r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  <w:r w:rsidR="00094391" w:rsidRPr="005019DC">
        <w:rPr>
          <w:rFonts w:ascii="Times New Roman" w:hAnsi="Times New Roman" w:cs="Times New Roman"/>
          <w:b/>
          <w:color w:val="002060"/>
          <w:sz w:val="26"/>
          <w:szCs w:val="24"/>
        </w:rPr>
        <w:t>2015</w:t>
      </w:r>
      <w:r w:rsidR="0096409A"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, 4-5 </w:t>
      </w:r>
      <w:proofErr w:type="spellStart"/>
      <w:r w:rsidR="0096409A" w:rsidRPr="005019DC">
        <w:rPr>
          <w:rFonts w:ascii="Times New Roman" w:hAnsi="Times New Roman" w:cs="Times New Roman"/>
          <w:b/>
          <w:color w:val="002060"/>
          <w:sz w:val="26"/>
          <w:szCs w:val="24"/>
        </w:rPr>
        <w:t>tháng</w:t>
      </w:r>
      <w:proofErr w:type="spellEnd"/>
      <w:r w:rsidR="0096409A"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6 </w:t>
      </w:r>
      <w:proofErr w:type="spellStart"/>
      <w:r w:rsidR="0096409A" w:rsidRPr="005019DC">
        <w:rPr>
          <w:rFonts w:ascii="Times New Roman" w:hAnsi="Times New Roman" w:cs="Times New Roman"/>
          <w:b/>
          <w:color w:val="002060"/>
          <w:sz w:val="26"/>
          <w:szCs w:val="24"/>
        </w:rPr>
        <w:t>năm</w:t>
      </w:r>
      <w:proofErr w:type="spellEnd"/>
      <w:r w:rsidR="0096409A"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2015</w:t>
      </w:r>
    </w:p>
    <w:p w:rsidR="00094391" w:rsidRPr="005019DC" w:rsidRDefault="00094391" w:rsidP="0096409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4"/>
        </w:rPr>
      </w:pPr>
      <w:r w:rsidRPr="005019DC">
        <w:rPr>
          <w:rFonts w:ascii="Times New Roman" w:hAnsi="Times New Roman" w:cs="Times New Roman"/>
          <w:b/>
          <w:color w:val="002060"/>
          <w:sz w:val="26"/>
          <w:szCs w:val="24"/>
        </w:rPr>
        <w:t>Vietnam International Conference in Finance – VICIF</w:t>
      </w:r>
      <w:r w:rsidR="009522CF" w:rsidRPr="005019DC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</w:p>
    <w:p w:rsidR="0096409A" w:rsidRPr="005019DC" w:rsidRDefault="00473623" w:rsidP="00F92582">
      <w:pPr>
        <w:spacing w:after="24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hyperlink r:id="rId11" w:history="1">
        <w:r w:rsidR="0096409A" w:rsidRPr="005019DC">
          <w:rPr>
            <w:rFonts w:ascii="Times New Roman" w:hAnsi="Times New Roman" w:cs="Times New Roman"/>
            <w:b/>
            <w:color w:val="002060"/>
            <w:sz w:val="26"/>
            <w:szCs w:val="24"/>
          </w:rPr>
          <w:t>http://vicif.sciencesconf.org/</w:t>
        </w:r>
      </w:hyperlink>
    </w:p>
    <w:p w:rsidR="0095598E" w:rsidRPr="005019DC" w:rsidRDefault="00FE1573" w:rsidP="0095598E">
      <w:pPr>
        <w:pStyle w:val="ListParagraph"/>
        <w:ind w:left="0"/>
        <w:jc w:val="both"/>
        <w:rPr>
          <w:rFonts w:ascii="Times New Roman" w:eastAsiaTheme="minorHAnsi" w:hAnsi="Times New Roman"/>
          <w:color w:val="002060"/>
          <w:sz w:val="26"/>
          <w:szCs w:val="24"/>
        </w:rPr>
      </w:pP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Trường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Đại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học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Kinh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tế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-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Luậ</w:t>
      </w:r>
      <w:r w:rsidR="00E80829" w:rsidRPr="005019DC">
        <w:rPr>
          <w:rFonts w:ascii="Times New Roman" w:hAnsi="Times New Roman"/>
          <w:color w:val="002060"/>
          <w:sz w:val="26"/>
          <w:szCs w:val="24"/>
        </w:rPr>
        <w:t>t</w:t>
      </w:r>
      <w:proofErr w:type="spellEnd"/>
      <w:r w:rsidR="00E80829" w:rsidRPr="005019DC">
        <w:rPr>
          <w:rFonts w:ascii="Times New Roman" w:hAnsi="Times New Roman"/>
          <w:color w:val="002060"/>
          <w:sz w:val="26"/>
          <w:szCs w:val="24"/>
        </w:rPr>
        <w:t xml:space="preserve"> – </w:t>
      </w:r>
      <w:proofErr w:type="spellStart"/>
      <w:r w:rsidR="00E80829" w:rsidRPr="005019DC">
        <w:rPr>
          <w:rFonts w:ascii="Times New Roman" w:hAnsi="Times New Roman"/>
          <w:color w:val="002060"/>
          <w:sz w:val="26"/>
          <w:szCs w:val="24"/>
        </w:rPr>
        <w:t>Đại</w:t>
      </w:r>
      <w:proofErr w:type="spellEnd"/>
      <w:r w:rsidR="00E80829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E80829" w:rsidRPr="005019DC">
        <w:rPr>
          <w:rFonts w:ascii="Times New Roman" w:hAnsi="Times New Roman"/>
          <w:color w:val="002060"/>
          <w:sz w:val="26"/>
          <w:szCs w:val="24"/>
        </w:rPr>
        <w:t>học</w:t>
      </w:r>
      <w:proofErr w:type="spellEnd"/>
      <w:r w:rsidR="00E80829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E80829" w:rsidRPr="005019DC">
        <w:rPr>
          <w:rFonts w:ascii="Times New Roman" w:hAnsi="Times New Roman"/>
          <w:color w:val="002060"/>
          <w:sz w:val="26"/>
          <w:szCs w:val="24"/>
        </w:rPr>
        <w:t>Quốc</w:t>
      </w:r>
      <w:proofErr w:type="spellEnd"/>
      <w:r w:rsidR="00E80829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E80829" w:rsidRPr="005019DC">
        <w:rPr>
          <w:rFonts w:ascii="Times New Roman" w:hAnsi="Times New Roman"/>
          <w:color w:val="002060"/>
          <w:sz w:val="26"/>
          <w:szCs w:val="24"/>
        </w:rPr>
        <w:t>gia</w:t>
      </w:r>
      <w:proofErr w:type="spellEnd"/>
      <w:r w:rsidR="00E80829" w:rsidRPr="005019DC">
        <w:rPr>
          <w:rFonts w:ascii="Times New Roman" w:hAnsi="Times New Roman"/>
          <w:color w:val="002060"/>
          <w:sz w:val="26"/>
          <w:szCs w:val="24"/>
        </w:rPr>
        <w:t xml:space="preserve"> TP.HCM</w:t>
      </w:r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phối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hợp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với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Hiệp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hội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Tài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chính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Quốc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tế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Việt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Nam (VFAI)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và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trường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Đại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học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Ngoại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thương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Hà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Nội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tổ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chức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Hội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thảo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Quốc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tế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về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tài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chính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tại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Việt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Nam (VCIF 2015)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vào</w:t>
      </w:r>
      <w:proofErr w:type="spellEnd"/>
      <w:r w:rsidR="0078793A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78793A" w:rsidRPr="005019DC">
        <w:rPr>
          <w:rFonts w:ascii="Times New Roman" w:hAnsi="Times New Roman"/>
          <w:color w:val="002060"/>
          <w:sz w:val="26"/>
          <w:szCs w:val="24"/>
        </w:rPr>
        <w:t>ngày</w:t>
      </w:r>
      <w:proofErr w:type="spellEnd"/>
      <w:r w:rsidR="0078793A" w:rsidRPr="005019DC">
        <w:rPr>
          <w:rFonts w:ascii="Times New Roman" w:hAnsi="Times New Roman"/>
          <w:color w:val="002060"/>
          <w:sz w:val="26"/>
          <w:szCs w:val="24"/>
        </w:rPr>
        <w:t xml:space="preserve"> 4-5</w:t>
      </w:r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tháng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6 </w:t>
      </w:r>
      <w:proofErr w:type="spellStart"/>
      <w:r w:rsidR="009C5AA5" w:rsidRPr="005019DC">
        <w:rPr>
          <w:rFonts w:ascii="Times New Roman" w:hAnsi="Times New Roman"/>
          <w:color w:val="002060"/>
          <w:sz w:val="26"/>
          <w:szCs w:val="24"/>
        </w:rPr>
        <w:t>năm</w:t>
      </w:r>
      <w:proofErr w:type="spellEnd"/>
      <w:r w:rsidR="009C5AA5" w:rsidRPr="005019DC">
        <w:rPr>
          <w:rFonts w:ascii="Times New Roman" w:hAnsi="Times New Roman"/>
          <w:color w:val="002060"/>
          <w:sz w:val="26"/>
          <w:szCs w:val="24"/>
        </w:rPr>
        <w:t xml:space="preserve"> 2015</w:t>
      </w:r>
      <w:r w:rsidR="00FD60F3">
        <w:rPr>
          <w:rFonts w:ascii="Times New Roman" w:hAnsi="Times New Roman"/>
          <w:color w:val="002060"/>
          <w:sz w:val="26"/>
          <w:szCs w:val="24"/>
        </w:rPr>
        <w:t>.</w:t>
      </w:r>
    </w:p>
    <w:p w:rsidR="00542ADA" w:rsidRPr="005019DC" w:rsidRDefault="001A3A64" w:rsidP="00F92582">
      <w:pPr>
        <w:jc w:val="both"/>
        <w:rPr>
          <w:rFonts w:ascii="Times New Roman" w:hAnsi="Times New Roman" w:cs="Times New Roman"/>
          <w:color w:val="002060"/>
          <w:sz w:val="26"/>
          <w:szCs w:val="24"/>
        </w:rPr>
      </w:pP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Mục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đích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của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Hội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thảo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>:</w:t>
      </w:r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N</w:t>
      </w:r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hằm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thúc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đẩy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nghiên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cứu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và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trao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đổi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vấn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đề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tài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chính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nổi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bật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trên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toàn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cầu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cũng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như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tại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thị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trường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tài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chính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Châu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Á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và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Việt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Nam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trong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giai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đoạn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hiện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nay.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Bên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cạnh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đó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,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hội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thảo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VICIF 2015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còn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mở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ra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một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diễn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đàn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cho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chuyên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gia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,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học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giả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và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nhà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quản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lý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của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tổ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chức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,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doanh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nghiệp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hoạt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động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trong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lĩnh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vực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Tài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chính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-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Ngân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hàng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,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Đầu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tư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Tài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chính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…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cơ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hội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để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trao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đổi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kinh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nghiệm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và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chia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sẻ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vấn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đề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,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kết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quả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nghiên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cứu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mới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và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thảo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luận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vấn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đề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thách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thức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hiện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tại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trong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lĩnh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vực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liên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quan</w:t>
      </w:r>
      <w:proofErr w:type="spellEnd"/>
      <w:r w:rsidR="00542ADA" w:rsidRPr="005019DC">
        <w:rPr>
          <w:rFonts w:ascii="Times New Roman" w:hAnsi="Times New Roman" w:cs="Times New Roman"/>
          <w:color w:val="002060"/>
          <w:sz w:val="26"/>
          <w:szCs w:val="24"/>
        </w:rPr>
        <w:t>.</w:t>
      </w:r>
    </w:p>
    <w:p w:rsidR="00542ADA" w:rsidRDefault="00F92582" w:rsidP="00542ADA">
      <w:pPr>
        <w:pStyle w:val="ListParagraph"/>
        <w:ind w:left="0"/>
        <w:jc w:val="both"/>
        <w:rPr>
          <w:rFonts w:ascii="Times New Roman" w:eastAsiaTheme="minorHAnsi" w:hAnsi="Times New Roman"/>
          <w:color w:val="002060"/>
          <w:sz w:val="26"/>
          <w:szCs w:val="24"/>
        </w:rPr>
      </w:pPr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Ban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tổ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chức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kính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mời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các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chuyên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gia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,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các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nhà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nghiên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cứu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,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học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giả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và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1A3A64" w:rsidRPr="005019DC">
        <w:rPr>
          <w:rFonts w:ascii="Times New Roman" w:eastAsiaTheme="minorHAnsi" w:hAnsi="Times New Roman"/>
          <w:color w:val="002060"/>
          <w:sz w:val="26"/>
          <w:szCs w:val="24"/>
        </w:rPr>
        <w:t>các</w:t>
      </w:r>
      <w:proofErr w:type="spellEnd"/>
      <w:r w:rsidR="001A3A64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1A3A64" w:rsidRPr="005019DC">
        <w:rPr>
          <w:rFonts w:ascii="Times New Roman" w:eastAsiaTheme="minorHAnsi" w:hAnsi="Times New Roman"/>
          <w:color w:val="002060"/>
          <w:sz w:val="26"/>
          <w:szCs w:val="24"/>
        </w:rPr>
        <w:t>cá</w:t>
      </w:r>
      <w:proofErr w:type="spellEnd"/>
      <w:r w:rsidR="001A3A64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1A3A64" w:rsidRPr="005019DC">
        <w:rPr>
          <w:rFonts w:ascii="Times New Roman" w:eastAsiaTheme="minorHAnsi" w:hAnsi="Times New Roman"/>
          <w:color w:val="002060"/>
          <w:sz w:val="26"/>
          <w:szCs w:val="24"/>
        </w:rPr>
        <w:t>nhân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quan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tâm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viết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bài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tham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gia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hội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thảo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này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.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Bài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viết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sẽ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tập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trung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vào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các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chủ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đề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 </w:t>
      </w:r>
      <w:proofErr w:type="spellStart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sau</w:t>
      </w:r>
      <w:proofErr w:type="spellEnd"/>
      <w:r w:rsidR="00542ADA" w:rsidRPr="005019DC">
        <w:rPr>
          <w:rFonts w:ascii="Times New Roman" w:eastAsiaTheme="minorHAnsi" w:hAnsi="Times New Roman"/>
          <w:color w:val="002060"/>
          <w:sz w:val="26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95598E" w:rsidTr="0095598E">
        <w:tc>
          <w:tcPr>
            <w:tcW w:w="4952" w:type="dxa"/>
          </w:tcPr>
          <w:p w:rsidR="0095598E" w:rsidRPr="005019DC" w:rsidRDefault="0095598E" w:rsidP="0095598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 w:rsidRPr="005019DC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Banking regulation and financial services</w:t>
            </w:r>
          </w:p>
          <w:p w:rsidR="0095598E" w:rsidRPr="005019DC" w:rsidRDefault="0095598E" w:rsidP="0095598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 w:rsidRPr="005019DC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Corporate finance and governance</w:t>
            </w:r>
          </w:p>
          <w:p w:rsidR="0095598E" w:rsidRPr="005019DC" w:rsidRDefault="0095598E" w:rsidP="0095598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 w:rsidRPr="005019DC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Corporate debt issues</w:t>
            </w:r>
          </w:p>
          <w:p w:rsidR="0095598E" w:rsidRPr="005019DC" w:rsidRDefault="0095598E" w:rsidP="0095598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 w:rsidRPr="005019DC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Emerging markets finance</w:t>
            </w:r>
          </w:p>
          <w:p w:rsidR="0095598E" w:rsidRPr="005019DC" w:rsidRDefault="0095598E" w:rsidP="0095598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 w:rsidRPr="005019DC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Financial crises and contagion</w:t>
            </w:r>
          </w:p>
          <w:p w:rsidR="0095598E" w:rsidRPr="005019DC" w:rsidRDefault="0095598E" w:rsidP="0095598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 w:rsidRPr="005019DC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Financial engineering and derivatives</w:t>
            </w:r>
          </w:p>
          <w:p w:rsidR="0095598E" w:rsidRPr="005019DC" w:rsidRDefault="0095598E" w:rsidP="0095598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 w:rsidRPr="005019DC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Foreign exchange markets</w:t>
            </w:r>
          </w:p>
          <w:p w:rsidR="0095598E" w:rsidRPr="005019DC" w:rsidRDefault="0095598E" w:rsidP="0095598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 w:rsidRPr="005019DC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Financial markets and institutions</w:t>
            </w:r>
          </w:p>
          <w:p w:rsidR="0095598E" w:rsidRDefault="0095598E" w:rsidP="0095598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2060"/>
                <w:sz w:val="26"/>
                <w:szCs w:val="24"/>
              </w:rPr>
            </w:pPr>
            <w:r w:rsidRPr="005019DC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Financial and econometric modeling</w:t>
            </w:r>
          </w:p>
        </w:tc>
        <w:tc>
          <w:tcPr>
            <w:tcW w:w="4952" w:type="dxa"/>
          </w:tcPr>
          <w:p w:rsidR="0095598E" w:rsidRDefault="0095598E" w:rsidP="0095598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Banking regulation and financial services</w:t>
            </w:r>
          </w:p>
          <w:p w:rsidR="0095598E" w:rsidRDefault="0095598E" w:rsidP="0095598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Corporate finance and governance</w:t>
            </w:r>
          </w:p>
          <w:p w:rsidR="0095598E" w:rsidRDefault="0095598E" w:rsidP="0095598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Corporate debt issues</w:t>
            </w:r>
          </w:p>
          <w:p w:rsidR="0095598E" w:rsidRDefault="0095598E" w:rsidP="0095598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Emerging markets finance</w:t>
            </w:r>
          </w:p>
          <w:p w:rsidR="0095598E" w:rsidRDefault="0095598E" w:rsidP="0095598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Financial crises and contagion</w:t>
            </w:r>
          </w:p>
          <w:p w:rsidR="0095598E" w:rsidRDefault="0095598E" w:rsidP="0095598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Financial engineering and derivatives</w:t>
            </w:r>
          </w:p>
          <w:p w:rsidR="0095598E" w:rsidRDefault="0095598E" w:rsidP="0095598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Foreign exchange markets</w:t>
            </w:r>
          </w:p>
          <w:p w:rsidR="0095598E" w:rsidRDefault="0095598E" w:rsidP="0095598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Financial markets and institutions</w:t>
            </w:r>
          </w:p>
          <w:p w:rsidR="0095598E" w:rsidRDefault="0095598E" w:rsidP="0095598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206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t>Financial and econometric modeling</w:t>
            </w:r>
          </w:p>
        </w:tc>
      </w:tr>
    </w:tbl>
    <w:p w:rsidR="00DF4301" w:rsidRPr="005019DC" w:rsidRDefault="001423FC" w:rsidP="00F9258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6"/>
          <w:szCs w:val="24"/>
        </w:rPr>
      </w:pP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lastRenderedPageBreak/>
        <w:t>Ngôn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ngữ</w:t>
      </w:r>
      <w:proofErr w:type="spellEnd"/>
      <w:r w:rsidR="00851035"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="00851035" w:rsidRPr="005019DC">
        <w:rPr>
          <w:rFonts w:ascii="Times New Roman" w:hAnsi="Times New Roman" w:cs="Times New Roman"/>
          <w:color w:val="002060"/>
          <w:sz w:val="26"/>
          <w:szCs w:val="24"/>
        </w:rPr>
        <w:t>v</w:t>
      </w:r>
      <w:r w:rsidRPr="005019DC">
        <w:rPr>
          <w:rFonts w:ascii="Times New Roman" w:hAnsi="Times New Roman" w:cs="Times New Roman"/>
          <w:color w:val="002060"/>
          <w:sz w:val="26"/>
          <w:szCs w:val="24"/>
        </w:rPr>
        <w:t>iết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bài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và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trình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bày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tại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hôi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thảo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: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Tiếng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Anh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>.</w:t>
      </w:r>
    </w:p>
    <w:p w:rsidR="001423FC" w:rsidRPr="005019DC" w:rsidRDefault="001423FC" w:rsidP="00DF430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2060"/>
          <w:sz w:val="26"/>
          <w:szCs w:val="24"/>
        </w:rPr>
      </w:pP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Thời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gian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nhận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bài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và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đăng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ký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tham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dự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hội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 w:cs="Times New Roman"/>
          <w:color w:val="002060"/>
          <w:sz w:val="26"/>
          <w:szCs w:val="24"/>
        </w:rPr>
        <w:t>thảo</w:t>
      </w:r>
      <w:proofErr w:type="spellEnd"/>
      <w:r w:rsidRPr="005019DC">
        <w:rPr>
          <w:rFonts w:ascii="Times New Roman" w:hAnsi="Times New Roman" w:cs="Times New Roman"/>
          <w:color w:val="002060"/>
          <w:sz w:val="26"/>
          <w:szCs w:val="24"/>
        </w:rPr>
        <w:t>:</w:t>
      </w:r>
    </w:p>
    <w:p w:rsidR="00DF4301" w:rsidRPr="005019DC" w:rsidRDefault="00542ADA" w:rsidP="00DF430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hAnsi="Times New Roman"/>
          <w:color w:val="002060"/>
          <w:sz w:val="26"/>
          <w:szCs w:val="24"/>
        </w:rPr>
      </w:pP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Bài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viết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6D1817" w:rsidRPr="005019DC">
        <w:rPr>
          <w:rFonts w:ascii="Times New Roman" w:hAnsi="Times New Roman"/>
          <w:color w:val="002060"/>
          <w:sz w:val="26"/>
          <w:szCs w:val="24"/>
        </w:rPr>
        <w:t>được</w:t>
      </w:r>
      <w:proofErr w:type="spellEnd"/>
      <w:r w:rsidR="006D1817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C623CF" w:rsidRPr="005019DC">
        <w:rPr>
          <w:rFonts w:ascii="Times New Roman" w:hAnsi="Times New Roman"/>
          <w:color w:val="002060"/>
          <w:sz w:val="26"/>
          <w:szCs w:val="24"/>
        </w:rPr>
        <w:t>gửi</w:t>
      </w:r>
      <w:proofErr w:type="spellEnd"/>
      <w:r w:rsidR="00C623CF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C623CF" w:rsidRPr="005019DC">
        <w:rPr>
          <w:rFonts w:ascii="Times New Roman" w:hAnsi="Times New Roman"/>
          <w:color w:val="002060"/>
          <w:sz w:val="26"/>
          <w:szCs w:val="24"/>
        </w:rPr>
        <w:t>về</w:t>
      </w:r>
      <w:proofErr w:type="spellEnd"/>
      <w:r w:rsidR="001423FC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1423FC" w:rsidRPr="005019DC">
        <w:rPr>
          <w:rFonts w:ascii="Times New Roman" w:hAnsi="Times New Roman"/>
          <w:color w:val="002060"/>
          <w:sz w:val="26"/>
          <w:szCs w:val="24"/>
        </w:rPr>
        <w:t>địa</w:t>
      </w:r>
      <w:proofErr w:type="spellEnd"/>
      <w:r w:rsidR="001423FC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1423FC" w:rsidRPr="005019DC">
        <w:rPr>
          <w:rFonts w:ascii="Times New Roman" w:hAnsi="Times New Roman"/>
          <w:color w:val="002060"/>
          <w:sz w:val="26"/>
          <w:szCs w:val="24"/>
        </w:rPr>
        <w:t>chỉ</w:t>
      </w:r>
      <w:proofErr w:type="spellEnd"/>
      <w:r w:rsidR="00FE34A3">
        <w:rPr>
          <w:rFonts w:ascii="Times New Roman" w:hAnsi="Times New Roman"/>
          <w:color w:val="002060"/>
          <w:sz w:val="26"/>
          <w:szCs w:val="24"/>
        </w:rPr>
        <w:t xml:space="preserve"> website </w:t>
      </w:r>
      <w:proofErr w:type="spellStart"/>
      <w:r w:rsidR="00FE34A3">
        <w:rPr>
          <w:rFonts w:ascii="Times New Roman" w:hAnsi="Times New Roman"/>
          <w:color w:val="002060"/>
          <w:sz w:val="26"/>
          <w:szCs w:val="24"/>
        </w:rPr>
        <w:t>của</w:t>
      </w:r>
      <w:proofErr w:type="spellEnd"/>
      <w:r w:rsidR="00FE34A3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FE34A3">
        <w:rPr>
          <w:rFonts w:ascii="Times New Roman" w:hAnsi="Times New Roman"/>
          <w:color w:val="002060"/>
          <w:sz w:val="26"/>
          <w:szCs w:val="24"/>
        </w:rPr>
        <w:t>hội</w:t>
      </w:r>
      <w:proofErr w:type="spellEnd"/>
      <w:r w:rsidR="00FE34A3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FE34A3">
        <w:rPr>
          <w:rFonts w:ascii="Times New Roman" w:hAnsi="Times New Roman"/>
          <w:color w:val="002060"/>
          <w:sz w:val="26"/>
          <w:szCs w:val="24"/>
        </w:rPr>
        <w:t>thảo</w:t>
      </w:r>
      <w:proofErr w:type="spellEnd"/>
      <w:r w:rsidR="00FE34A3">
        <w:rPr>
          <w:rFonts w:ascii="Times New Roman" w:hAnsi="Times New Roman"/>
          <w:color w:val="002060"/>
          <w:sz w:val="26"/>
          <w:szCs w:val="24"/>
        </w:rPr>
        <w:t xml:space="preserve">: </w:t>
      </w:r>
      <w:r w:rsidR="00FE34A3" w:rsidRPr="00FE34A3">
        <w:rPr>
          <w:rFonts w:ascii="Times New Roman" w:hAnsi="Times New Roman"/>
          <w:color w:val="002060"/>
          <w:sz w:val="26"/>
          <w:szCs w:val="24"/>
        </w:rPr>
        <w:t>(http://vicif.sciencesconf.org)</w:t>
      </w:r>
      <w:r w:rsidR="00C623CF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C623CF" w:rsidRPr="005019DC">
        <w:rPr>
          <w:rFonts w:ascii="Times New Roman" w:hAnsi="Times New Roman"/>
          <w:color w:val="002060"/>
          <w:sz w:val="26"/>
          <w:szCs w:val="24"/>
        </w:rPr>
        <w:t>trước</w:t>
      </w:r>
      <w:proofErr w:type="spellEnd"/>
      <w:r w:rsidR="00C623CF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C623CF" w:rsidRPr="005019DC">
        <w:rPr>
          <w:rFonts w:ascii="Times New Roman" w:hAnsi="Times New Roman"/>
          <w:color w:val="002060"/>
          <w:sz w:val="26"/>
          <w:szCs w:val="24"/>
        </w:rPr>
        <w:t>ngày</w:t>
      </w:r>
      <w:proofErr w:type="spellEnd"/>
      <w:r w:rsidR="00C623CF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r w:rsidR="00C623CF" w:rsidRPr="005019DC">
        <w:rPr>
          <w:rFonts w:ascii="Times New Roman" w:hAnsi="Times New Roman"/>
          <w:b/>
          <w:color w:val="002060"/>
          <w:sz w:val="26"/>
          <w:szCs w:val="24"/>
        </w:rPr>
        <w:t>15</w:t>
      </w:r>
      <w:r w:rsidR="00DF4301" w:rsidRPr="005019DC">
        <w:rPr>
          <w:rFonts w:ascii="Times New Roman" w:hAnsi="Times New Roman"/>
          <w:b/>
          <w:color w:val="002060"/>
          <w:sz w:val="26"/>
          <w:szCs w:val="24"/>
        </w:rPr>
        <w:t>/3/</w:t>
      </w:r>
      <w:r w:rsidR="00C623CF" w:rsidRPr="005019DC">
        <w:rPr>
          <w:rFonts w:ascii="Times New Roman" w:hAnsi="Times New Roman"/>
          <w:b/>
          <w:color w:val="002060"/>
          <w:sz w:val="26"/>
          <w:szCs w:val="24"/>
        </w:rPr>
        <w:t>2015</w:t>
      </w:r>
      <w:r w:rsidR="00C623CF" w:rsidRPr="005019DC">
        <w:rPr>
          <w:rFonts w:ascii="Times New Roman" w:hAnsi="Times New Roman"/>
          <w:color w:val="002060"/>
          <w:sz w:val="26"/>
          <w:szCs w:val="24"/>
        </w:rPr>
        <w:t xml:space="preserve">. </w:t>
      </w:r>
    </w:p>
    <w:p w:rsidR="00DF4301" w:rsidRPr="005019DC" w:rsidRDefault="00DF4301" w:rsidP="00DF430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hAnsi="Times New Roman"/>
          <w:color w:val="002060"/>
          <w:sz w:val="26"/>
          <w:szCs w:val="24"/>
        </w:rPr>
      </w:pP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Thời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gian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đăng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ký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tham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dự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hội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thảo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: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đến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hết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ngày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r w:rsidRPr="005019DC">
        <w:rPr>
          <w:rFonts w:ascii="Times New Roman" w:hAnsi="Times New Roman"/>
          <w:b/>
          <w:color w:val="002060"/>
          <w:sz w:val="26"/>
          <w:szCs w:val="24"/>
        </w:rPr>
        <w:t>5/5/2015</w:t>
      </w:r>
    </w:p>
    <w:p w:rsidR="00C623CF" w:rsidRPr="005019DC" w:rsidRDefault="006D1817" w:rsidP="00DF430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hAnsi="Times New Roman"/>
          <w:color w:val="002060"/>
          <w:sz w:val="26"/>
          <w:szCs w:val="24"/>
        </w:rPr>
      </w:pP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Các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bài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gửi</w:t>
      </w:r>
      <w:proofErr w:type="spellEnd"/>
      <w:r w:rsidR="00C623CF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C623CF" w:rsidRPr="005019DC">
        <w:rPr>
          <w:rFonts w:ascii="Times New Roman" w:hAnsi="Times New Roman"/>
          <w:color w:val="002060"/>
          <w:sz w:val="26"/>
          <w:szCs w:val="24"/>
        </w:rPr>
        <w:t>cho</w:t>
      </w:r>
      <w:proofErr w:type="spellEnd"/>
      <w:r w:rsidR="00C623CF" w:rsidRPr="005019DC">
        <w:rPr>
          <w:rFonts w:ascii="Times New Roman" w:hAnsi="Times New Roman"/>
          <w:color w:val="002060"/>
          <w:sz w:val="26"/>
          <w:szCs w:val="24"/>
        </w:rPr>
        <w:t xml:space="preserve"> Ban </w:t>
      </w:r>
      <w:proofErr w:type="spellStart"/>
      <w:r w:rsidR="00C623CF" w:rsidRPr="005019DC">
        <w:rPr>
          <w:rFonts w:ascii="Times New Roman" w:hAnsi="Times New Roman"/>
          <w:color w:val="002060"/>
          <w:sz w:val="26"/>
          <w:szCs w:val="24"/>
        </w:rPr>
        <w:t>tổ</w:t>
      </w:r>
      <w:proofErr w:type="spellEnd"/>
      <w:r w:rsidR="00C623CF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C623CF" w:rsidRPr="005019DC">
        <w:rPr>
          <w:rFonts w:ascii="Times New Roman" w:hAnsi="Times New Roman"/>
          <w:color w:val="002060"/>
          <w:sz w:val="26"/>
          <w:szCs w:val="24"/>
        </w:rPr>
        <w:t>chức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sẽ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được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đọc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C623CF" w:rsidRPr="005019DC">
        <w:rPr>
          <w:rFonts w:ascii="Times New Roman" w:hAnsi="Times New Roman"/>
          <w:color w:val="002060"/>
          <w:sz w:val="26"/>
          <w:szCs w:val="24"/>
        </w:rPr>
        <w:t>gửi</w:t>
      </w:r>
      <w:proofErr w:type="spellEnd"/>
      <w:r w:rsidR="00C623CF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C623CF" w:rsidRPr="005019DC">
        <w:rPr>
          <w:rFonts w:ascii="Times New Roman" w:hAnsi="Times New Roman"/>
          <w:color w:val="002060"/>
          <w:sz w:val="26"/>
          <w:szCs w:val="24"/>
        </w:rPr>
        <w:t>phản</w:t>
      </w:r>
      <w:proofErr w:type="spellEnd"/>
      <w:r w:rsidR="00C623CF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C623CF" w:rsidRPr="005019DC">
        <w:rPr>
          <w:rFonts w:ascii="Times New Roman" w:hAnsi="Times New Roman"/>
          <w:color w:val="002060"/>
          <w:sz w:val="26"/>
          <w:szCs w:val="24"/>
        </w:rPr>
        <w:t>biện</w:t>
      </w:r>
      <w:proofErr w:type="spellEnd"/>
      <w:r w:rsidR="00C623CF" w:rsidRPr="005019DC">
        <w:rPr>
          <w:rFonts w:ascii="Times New Roman" w:hAnsi="Times New Roman"/>
          <w:color w:val="002060"/>
          <w:sz w:val="26"/>
          <w:szCs w:val="24"/>
        </w:rPr>
        <w:t>:</w:t>
      </w:r>
    </w:p>
    <w:p w:rsidR="00C623CF" w:rsidRPr="005019DC" w:rsidRDefault="00C623CF" w:rsidP="00DF4301">
      <w:pPr>
        <w:pStyle w:val="ListParagraph"/>
        <w:numPr>
          <w:ilvl w:val="1"/>
          <w:numId w:val="2"/>
        </w:numPr>
        <w:shd w:val="clear" w:color="auto" w:fill="FFFFFF"/>
        <w:spacing w:after="120" w:line="240" w:lineRule="auto"/>
        <w:rPr>
          <w:rFonts w:ascii="Times New Roman" w:hAnsi="Times New Roman"/>
          <w:color w:val="002060"/>
          <w:sz w:val="26"/>
          <w:szCs w:val="24"/>
        </w:rPr>
      </w:pP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Những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bài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đạt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yêu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cầu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sẽ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được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in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trong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cuốn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Kỷ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yếu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hội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thảo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>.</w:t>
      </w:r>
    </w:p>
    <w:p w:rsidR="00542ADA" w:rsidRPr="005019DC" w:rsidRDefault="00C623CF" w:rsidP="00DF4301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color w:val="002060"/>
          <w:sz w:val="26"/>
          <w:szCs w:val="24"/>
        </w:rPr>
      </w:pP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Các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bài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viết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tốt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nhất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sẽ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được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DF4301" w:rsidRPr="005019DC">
        <w:rPr>
          <w:rFonts w:ascii="Times New Roman" w:hAnsi="Times New Roman"/>
          <w:color w:val="002060"/>
          <w:sz w:val="26"/>
          <w:szCs w:val="24"/>
        </w:rPr>
        <w:t>giới</w:t>
      </w:r>
      <w:proofErr w:type="spellEnd"/>
      <w:r w:rsidR="00DF4301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DF4301" w:rsidRPr="005019DC">
        <w:rPr>
          <w:rFonts w:ascii="Times New Roman" w:hAnsi="Times New Roman"/>
          <w:color w:val="002060"/>
          <w:sz w:val="26"/>
          <w:szCs w:val="24"/>
        </w:rPr>
        <w:t>thiệu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trên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các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tạp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  <w:szCs w:val="24"/>
        </w:rPr>
        <w:t>chí</w:t>
      </w:r>
      <w:proofErr w:type="spellEnd"/>
      <w:r w:rsidR="00DF4301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DF4301" w:rsidRPr="005019DC">
        <w:rPr>
          <w:rFonts w:ascii="Times New Roman" w:hAnsi="Times New Roman"/>
          <w:color w:val="002060"/>
          <w:sz w:val="26"/>
          <w:szCs w:val="24"/>
        </w:rPr>
        <w:t>uy</w:t>
      </w:r>
      <w:proofErr w:type="spellEnd"/>
      <w:r w:rsidR="00DF4301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DF4301" w:rsidRPr="005019DC">
        <w:rPr>
          <w:rFonts w:ascii="Times New Roman" w:hAnsi="Times New Roman"/>
          <w:color w:val="002060"/>
          <w:sz w:val="26"/>
          <w:szCs w:val="24"/>
        </w:rPr>
        <w:t>tín</w:t>
      </w:r>
      <w:proofErr w:type="spellEnd"/>
      <w:r w:rsidR="00DF4301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="00DF4301" w:rsidRPr="005019DC">
        <w:rPr>
          <w:rFonts w:ascii="Times New Roman" w:hAnsi="Times New Roman"/>
          <w:color w:val="002060"/>
          <w:sz w:val="26"/>
          <w:szCs w:val="24"/>
        </w:rPr>
        <w:t>như</w:t>
      </w:r>
      <w:proofErr w:type="spellEnd"/>
      <w:r w:rsidRPr="005019DC">
        <w:rPr>
          <w:rFonts w:ascii="Times New Roman" w:hAnsi="Times New Roman"/>
          <w:color w:val="002060"/>
          <w:sz w:val="26"/>
          <w:szCs w:val="24"/>
        </w:rPr>
        <w:t xml:space="preserve">: </w:t>
      </w:r>
      <w:hyperlink r:id="rId12" w:history="1">
        <w:r w:rsidRPr="005019DC">
          <w:rPr>
            <w:rFonts w:ascii="Times New Roman" w:eastAsiaTheme="minorHAnsi" w:hAnsi="Times New Roman"/>
            <w:color w:val="002060"/>
            <w:sz w:val="26"/>
            <w:szCs w:val="24"/>
          </w:rPr>
          <w:t>Research in International Business and Finance</w:t>
        </w:r>
      </w:hyperlink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; </w:t>
      </w:r>
      <w:hyperlink r:id="rId13" w:history="1">
        <w:r w:rsidRPr="005019DC">
          <w:rPr>
            <w:rFonts w:ascii="Times New Roman" w:eastAsiaTheme="minorHAnsi" w:hAnsi="Times New Roman"/>
            <w:color w:val="002060"/>
            <w:sz w:val="26"/>
            <w:szCs w:val="24"/>
          </w:rPr>
          <w:t>Review of Pacific Basin Financial Markets and Policies</w:t>
        </w:r>
      </w:hyperlink>
      <w:r w:rsidRPr="005019DC">
        <w:rPr>
          <w:rFonts w:ascii="Times New Roman" w:eastAsiaTheme="minorHAnsi" w:hAnsi="Times New Roman"/>
          <w:color w:val="002060"/>
          <w:sz w:val="26"/>
          <w:szCs w:val="24"/>
        </w:rPr>
        <w:t xml:space="preserve">; </w:t>
      </w:r>
      <w:hyperlink r:id="rId14" w:history="1">
        <w:r w:rsidRPr="005019DC">
          <w:rPr>
            <w:rFonts w:ascii="Times New Roman" w:eastAsiaTheme="minorHAnsi" w:hAnsi="Times New Roman"/>
            <w:color w:val="002060"/>
            <w:sz w:val="26"/>
            <w:szCs w:val="24"/>
          </w:rPr>
          <w:t>Emerging Markets Review</w:t>
        </w:r>
      </w:hyperlink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; </w:t>
      </w:r>
      <w:hyperlink r:id="rId15" w:history="1">
        <w:r w:rsidRPr="005019DC">
          <w:rPr>
            <w:rFonts w:ascii="Times New Roman" w:eastAsiaTheme="minorHAnsi" w:hAnsi="Times New Roman"/>
            <w:color w:val="002060"/>
            <w:sz w:val="26"/>
            <w:szCs w:val="24"/>
          </w:rPr>
          <w:t>Journal of International Financial Markets, Institutions and Money</w:t>
        </w:r>
      </w:hyperlink>
      <w:r w:rsidR="008221BB" w:rsidRPr="005019DC">
        <w:rPr>
          <w:rFonts w:ascii="Times New Roman" w:hAnsi="Times New Roman"/>
          <w:color w:val="002060"/>
          <w:sz w:val="26"/>
          <w:szCs w:val="24"/>
        </w:rPr>
        <w:t xml:space="preserve"> </w:t>
      </w:r>
      <w:proofErr w:type="spellStart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và</w:t>
      </w:r>
      <w:proofErr w:type="spellEnd"/>
      <w:r w:rsidRPr="005019DC">
        <w:rPr>
          <w:rFonts w:ascii="Times New Roman" w:eastAsiaTheme="minorHAnsi" w:hAnsi="Times New Roman"/>
          <w:color w:val="002060"/>
          <w:sz w:val="26"/>
          <w:szCs w:val="24"/>
        </w:rPr>
        <w:t> </w:t>
      </w:r>
      <w:hyperlink r:id="rId16" w:history="1">
        <w:r w:rsidRPr="005019DC">
          <w:rPr>
            <w:rFonts w:ascii="Times New Roman" w:eastAsiaTheme="minorHAnsi" w:hAnsi="Times New Roman"/>
            <w:color w:val="002060"/>
            <w:sz w:val="26"/>
            <w:szCs w:val="24"/>
          </w:rPr>
          <w:t>Journal of Multinational Financial Management</w:t>
        </w:r>
      </w:hyperlink>
    </w:p>
    <w:p w:rsidR="00FE34A3" w:rsidRDefault="00FE34A3" w:rsidP="00542ADA">
      <w:pPr>
        <w:pStyle w:val="ListParagraph"/>
        <w:ind w:left="0"/>
        <w:jc w:val="both"/>
        <w:rPr>
          <w:rFonts w:ascii="Times New Roman" w:hAnsi="Times New Roman"/>
          <w:color w:val="002060"/>
          <w:sz w:val="26"/>
        </w:rPr>
      </w:pPr>
    </w:p>
    <w:p w:rsidR="00542ADA" w:rsidRPr="005019DC" w:rsidRDefault="008C30E4" w:rsidP="00542ADA">
      <w:pPr>
        <w:pStyle w:val="ListParagraph"/>
        <w:ind w:left="0"/>
        <w:jc w:val="both"/>
        <w:rPr>
          <w:rFonts w:ascii="Times New Roman" w:hAnsi="Times New Roman"/>
          <w:color w:val="002060"/>
          <w:sz w:val="26"/>
        </w:rPr>
      </w:pPr>
      <w:r w:rsidRPr="005019DC">
        <w:rPr>
          <w:rFonts w:ascii="Times New Roman" w:hAnsi="Times New Roman"/>
          <w:color w:val="002060"/>
          <w:sz w:val="26"/>
        </w:rPr>
        <w:t xml:space="preserve">Ban </w:t>
      </w:r>
      <w:proofErr w:type="spellStart"/>
      <w:r w:rsidRPr="005019DC">
        <w:rPr>
          <w:rFonts w:ascii="Times New Roman" w:hAnsi="Times New Roman"/>
          <w:color w:val="002060"/>
          <w:sz w:val="26"/>
        </w:rPr>
        <w:t>Tổ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chức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Hội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thảo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rất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mong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nhận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được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bài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nghiên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cứu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tham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gia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Hội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thảo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và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hân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hạnh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được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đón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tiếp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Quý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vị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tham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dự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Hội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thảo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quốc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tế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này</w:t>
      </w:r>
      <w:proofErr w:type="spellEnd"/>
      <w:r w:rsidRPr="005019DC">
        <w:rPr>
          <w:rFonts w:ascii="Times New Roman" w:hAnsi="Times New Roman"/>
          <w:color w:val="002060"/>
          <w:sz w:val="26"/>
        </w:rPr>
        <w:t>.</w:t>
      </w:r>
    </w:p>
    <w:p w:rsidR="00BB7EA8" w:rsidRPr="005019DC" w:rsidRDefault="00BB7EA8" w:rsidP="00542ADA">
      <w:pPr>
        <w:pStyle w:val="ListParagraph"/>
        <w:ind w:left="0"/>
        <w:jc w:val="both"/>
        <w:rPr>
          <w:rFonts w:ascii="Times New Roman" w:hAnsi="Times New Roman"/>
          <w:color w:val="002060"/>
          <w:sz w:val="26"/>
        </w:rPr>
      </w:pPr>
    </w:p>
    <w:p w:rsidR="00BB7EA8" w:rsidRPr="005019DC" w:rsidRDefault="00BB7EA8" w:rsidP="00542ADA">
      <w:pPr>
        <w:pStyle w:val="ListParagraph"/>
        <w:ind w:left="0"/>
        <w:jc w:val="both"/>
        <w:rPr>
          <w:rFonts w:ascii="Times New Roman" w:hAnsi="Times New Roman"/>
          <w:color w:val="002060"/>
          <w:sz w:val="26"/>
        </w:rPr>
      </w:pPr>
      <w:proofErr w:type="spellStart"/>
      <w:proofErr w:type="gramStart"/>
      <w:r w:rsidRPr="005019DC">
        <w:rPr>
          <w:rFonts w:ascii="Times New Roman" w:hAnsi="Times New Roman"/>
          <w:color w:val="002060"/>
          <w:sz w:val="26"/>
        </w:rPr>
        <w:t>Trân</w:t>
      </w:r>
      <w:proofErr w:type="spellEnd"/>
      <w:r w:rsidRPr="005019DC">
        <w:rPr>
          <w:rFonts w:ascii="Times New Roman" w:hAnsi="Times New Roman"/>
          <w:color w:val="002060"/>
          <w:sz w:val="26"/>
        </w:rPr>
        <w:t xml:space="preserve"> </w:t>
      </w:r>
      <w:proofErr w:type="spellStart"/>
      <w:r w:rsidRPr="005019DC">
        <w:rPr>
          <w:rFonts w:ascii="Times New Roman" w:hAnsi="Times New Roman"/>
          <w:color w:val="002060"/>
          <w:sz w:val="26"/>
        </w:rPr>
        <w:t>Trọng</w:t>
      </w:r>
      <w:proofErr w:type="spellEnd"/>
      <w:r w:rsidRPr="005019DC">
        <w:rPr>
          <w:rFonts w:ascii="Times New Roman" w:hAnsi="Times New Roman"/>
          <w:color w:val="002060"/>
          <w:sz w:val="26"/>
        </w:rPr>
        <w:t>.</w:t>
      </w:r>
      <w:proofErr w:type="gramEnd"/>
    </w:p>
    <w:p w:rsidR="00882717" w:rsidRPr="005019DC" w:rsidRDefault="00882717" w:rsidP="00542ADA">
      <w:pPr>
        <w:pStyle w:val="ListParagraph"/>
        <w:ind w:left="0"/>
        <w:jc w:val="both"/>
        <w:rPr>
          <w:rFonts w:ascii="Times New Roman" w:hAnsi="Times New Roman"/>
          <w:color w:val="000000"/>
          <w:sz w:val="26"/>
        </w:rPr>
      </w:pPr>
    </w:p>
    <w:p w:rsidR="00882717" w:rsidRPr="005019DC" w:rsidRDefault="00882717" w:rsidP="002872A2">
      <w:pPr>
        <w:pStyle w:val="ListParagraph"/>
        <w:ind w:left="0"/>
        <w:jc w:val="both"/>
        <w:rPr>
          <w:rFonts w:ascii="Times New Roman" w:eastAsiaTheme="minorHAnsi" w:hAnsi="Times New Roman"/>
          <w:b/>
          <w:color w:val="000000" w:themeColor="text1"/>
          <w:sz w:val="26"/>
          <w:szCs w:val="24"/>
        </w:rPr>
      </w:pPr>
      <w:r w:rsidRPr="005019DC">
        <w:rPr>
          <w:rFonts w:ascii="Times New Roman" w:hAnsi="Times New Roman"/>
          <w:color w:val="000000"/>
          <w:sz w:val="24"/>
        </w:rPr>
        <w:tab/>
      </w:r>
      <w:r w:rsidRPr="005019DC">
        <w:rPr>
          <w:rFonts w:ascii="Times New Roman" w:hAnsi="Times New Roman"/>
          <w:color w:val="000000"/>
          <w:sz w:val="24"/>
        </w:rPr>
        <w:tab/>
      </w:r>
      <w:r w:rsidRPr="005019DC">
        <w:rPr>
          <w:rFonts w:ascii="Times New Roman" w:hAnsi="Times New Roman"/>
          <w:color w:val="000000"/>
          <w:sz w:val="24"/>
        </w:rPr>
        <w:tab/>
      </w:r>
      <w:r w:rsidRPr="005019DC">
        <w:rPr>
          <w:rFonts w:ascii="Times New Roman" w:hAnsi="Times New Roman"/>
          <w:color w:val="000000"/>
          <w:sz w:val="24"/>
        </w:rPr>
        <w:tab/>
      </w:r>
      <w:r w:rsidRPr="005019DC">
        <w:rPr>
          <w:rFonts w:ascii="Times New Roman" w:hAnsi="Times New Roman"/>
          <w:color w:val="000000"/>
          <w:sz w:val="24"/>
        </w:rPr>
        <w:tab/>
      </w:r>
      <w:r w:rsidRPr="005019DC">
        <w:rPr>
          <w:rFonts w:ascii="Times New Roman" w:hAnsi="Times New Roman"/>
          <w:color w:val="000000"/>
          <w:sz w:val="24"/>
        </w:rPr>
        <w:tab/>
      </w:r>
      <w:r w:rsidRPr="005019DC">
        <w:rPr>
          <w:rFonts w:ascii="Times New Roman" w:hAnsi="Times New Roman"/>
          <w:color w:val="000000"/>
          <w:sz w:val="24"/>
        </w:rPr>
        <w:tab/>
      </w:r>
      <w:r w:rsidRPr="005019DC">
        <w:rPr>
          <w:rFonts w:ascii="Times New Roman" w:hAnsi="Times New Roman"/>
          <w:color w:val="000000"/>
          <w:sz w:val="24"/>
        </w:rPr>
        <w:tab/>
      </w:r>
    </w:p>
    <w:sectPr w:rsidR="00882717" w:rsidRPr="005019DC" w:rsidSect="0095598E">
      <w:footerReference w:type="default" r:id="rId17"/>
      <w:pgSz w:w="12240" w:h="15840"/>
      <w:pgMar w:top="851" w:right="851" w:bottom="851" w:left="1701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EC" w:rsidRDefault="00314BEC" w:rsidP="00FE1573">
      <w:pPr>
        <w:spacing w:after="0" w:line="240" w:lineRule="auto"/>
      </w:pPr>
      <w:r>
        <w:separator/>
      </w:r>
    </w:p>
  </w:endnote>
  <w:endnote w:type="continuationSeparator" w:id="0">
    <w:p w:rsidR="00314BEC" w:rsidRDefault="00314BEC" w:rsidP="00FE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236"/>
      <w:docPartObj>
        <w:docPartGallery w:val="Page Numbers (Bottom of Page)"/>
        <w:docPartUnique/>
      </w:docPartObj>
    </w:sdtPr>
    <w:sdtContent>
      <w:p w:rsidR="00144F8B" w:rsidRDefault="00473623">
        <w:pPr>
          <w:pStyle w:val="Footer"/>
          <w:jc w:val="center"/>
        </w:pPr>
        <w:fldSimple w:instr=" PAGE   \* MERGEFORMAT ">
          <w:r w:rsidR="00AA06F4">
            <w:rPr>
              <w:noProof/>
            </w:rPr>
            <w:t>1</w:t>
          </w:r>
        </w:fldSimple>
      </w:p>
    </w:sdtContent>
  </w:sdt>
  <w:p w:rsidR="00FE1573" w:rsidRDefault="00FE15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EC" w:rsidRDefault="00314BEC" w:rsidP="00FE1573">
      <w:pPr>
        <w:spacing w:after="0" w:line="240" w:lineRule="auto"/>
      </w:pPr>
      <w:r>
        <w:separator/>
      </w:r>
    </w:p>
  </w:footnote>
  <w:footnote w:type="continuationSeparator" w:id="0">
    <w:p w:rsidR="00314BEC" w:rsidRDefault="00314BEC" w:rsidP="00FE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03F"/>
    <w:multiLevelType w:val="hybridMultilevel"/>
    <w:tmpl w:val="738E923A"/>
    <w:lvl w:ilvl="0" w:tplc="3CF4EC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93428"/>
    <w:multiLevelType w:val="hybridMultilevel"/>
    <w:tmpl w:val="BCFA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35741"/>
    <w:multiLevelType w:val="multilevel"/>
    <w:tmpl w:val="35B4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2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1C21"/>
    <w:rsid w:val="000361A7"/>
    <w:rsid w:val="00072907"/>
    <w:rsid w:val="00094391"/>
    <w:rsid w:val="000E06E8"/>
    <w:rsid w:val="001423FC"/>
    <w:rsid w:val="00144F8B"/>
    <w:rsid w:val="00180B4E"/>
    <w:rsid w:val="00181C21"/>
    <w:rsid w:val="00195509"/>
    <w:rsid w:val="001A3A64"/>
    <w:rsid w:val="001E2E6F"/>
    <w:rsid w:val="001E2ED4"/>
    <w:rsid w:val="002101AC"/>
    <w:rsid w:val="0021073A"/>
    <w:rsid w:val="00236C87"/>
    <w:rsid w:val="002872A2"/>
    <w:rsid w:val="002D7C6D"/>
    <w:rsid w:val="00314BEC"/>
    <w:rsid w:val="00410805"/>
    <w:rsid w:val="00466C09"/>
    <w:rsid w:val="00473623"/>
    <w:rsid w:val="004862B4"/>
    <w:rsid w:val="005019DC"/>
    <w:rsid w:val="005064B8"/>
    <w:rsid w:val="005357BD"/>
    <w:rsid w:val="00542ADA"/>
    <w:rsid w:val="00574317"/>
    <w:rsid w:val="005A7086"/>
    <w:rsid w:val="005B6F5E"/>
    <w:rsid w:val="00623891"/>
    <w:rsid w:val="00652279"/>
    <w:rsid w:val="006D1817"/>
    <w:rsid w:val="006D77AC"/>
    <w:rsid w:val="00733099"/>
    <w:rsid w:val="00741AFD"/>
    <w:rsid w:val="00753298"/>
    <w:rsid w:val="0078793A"/>
    <w:rsid w:val="0078799C"/>
    <w:rsid w:val="00803617"/>
    <w:rsid w:val="008220B9"/>
    <w:rsid w:val="008221BB"/>
    <w:rsid w:val="00851035"/>
    <w:rsid w:val="00882717"/>
    <w:rsid w:val="00882826"/>
    <w:rsid w:val="008C30E4"/>
    <w:rsid w:val="008E113D"/>
    <w:rsid w:val="009522CF"/>
    <w:rsid w:val="0095598E"/>
    <w:rsid w:val="0096409A"/>
    <w:rsid w:val="00983FA7"/>
    <w:rsid w:val="009C5AA5"/>
    <w:rsid w:val="009F330B"/>
    <w:rsid w:val="00A11A68"/>
    <w:rsid w:val="00AA06F4"/>
    <w:rsid w:val="00B4291D"/>
    <w:rsid w:val="00B46C81"/>
    <w:rsid w:val="00BB7EA8"/>
    <w:rsid w:val="00C274CA"/>
    <w:rsid w:val="00C2774D"/>
    <w:rsid w:val="00C3118F"/>
    <w:rsid w:val="00C376BB"/>
    <w:rsid w:val="00C42DC5"/>
    <w:rsid w:val="00C623CF"/>
    <w:rsid w:val="00D451D1"/>
    <w:rsid w:val="00D60E19"/>
    <w:rsid w:val="00DE2238"/>
    <w:rsid w:val="00DF4301"/>
    <w:rsid w:val="00E0425A"/>
    <w:rsid w:val="00E71D6B"/>
    <w:rsid w:val="00E80829"/>
    <w:rsid w:val="00EC5E79"/>
    <w:rsid w:val="00ED75EB"/>
    <w:rsid w:val="00EF678A"/>
    <w:rsid w:val="00F25032"/>
    <w:rsid w:val="00F4298D"/>
    <w:rsid w:val="00F72464"/>
    <w:rsid w:val="00F92582"/>
    <w:rsid w:val="00FA1FCD"/>
    <w:rsid w:val="00FD60F3"/>
    <w:rsid w:val="00FE1573"/>
    <w:rsid w:val="00FE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1573"/>
  </w:style>
  <w:style w:type="paragraph" w:styleId="Footer">
    <w:name w:val="footer"/>
    <w:basedOn w:val="Normal"/>
    <w:link w:val="FooterChar"/>
    <w:uiPriority w:val="99"/>
    <w:unhideWhenUsed/>
    <w:rsid w:val="00FE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73"/>
  </w:style>
  <w:style w:type="paragraph" w:styleId="ListParagraph">
    <w:name w:val="List Paragraph"/>
    <w:basedOn w:val="Normal"/>
    <w:uiPriority w:val="34"/>
    <w:qFormat/>
    <w:rsid w:val="00542AD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4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1817"/>
  </w:style>
  <w:style w:type="character" w:styleId="Hyperlink">
    <w:name w:val="Hyperlink"/>
    <w:basedOn w:val="DefaultParagraphFont"/>
    <w:uiPriority w:val="99"/>
    <w:unhideWhenUsed/>
    <w:rsid w:val="006D18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rldscientific.com/worldscinet/rpbfm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ournals.elsevier.com/research-in-international-business-and-financ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journals.elsevier.com/journal-of-multinational-financial-manage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cif.sciencesconf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ournals.elsevier.com/journal-of-international-financial-markets-institutions-and-money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journals.elsevier.com/emerging-markets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1EEC-9F4E-4294-BDCC-E20E15DB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</dc:creator>
  <cp:lastModifiedBy>GHOSTVN</cp:lastModifiedBy>
  <cp:revision>2</cp:revision>
  <dcterms:created xsi:type="dcterms:W3CDTF">2015-01-27T04:21:00Z</dcterms:created>
  <dcterms:modified xsi:type="dcterms:W3CDTF">2015-01-27T04:21:00Z</dcterms:modified>
</cp:coreProperties>
</file>